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EC6D23" w14:textId="038E13D4" w:rsidR="007D7E2B" w:rsidRDefault="00BB188D">
      <w:pP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EDITAL </w:t>
      </w:r>
      <w:r w:rsidR="00A46D12">
        <w:rPr>
          <w:b/>
          <w:sz w:val="24"/>
          <w:szCs w:val="24"/>
        </w:rPr>
        <w:t>CULTURA VIVA ALAGOINHAS</w:t>
      </w:r>
    </w:p>
    <w:p w14:paraId="7323C1E3" w14:textId="473BEF6D" w:rsidR="007D7E2B" w:rsidRDefault="00BB188D">
      <w:pPr>
        <w:shd w:val="clear" w:color="auto" w:fill="FFFFFF"/>
        <w:spacing w:after="0" w:line="276" w:lineRule="auto"/>
        <w:ind w:left="0" w:hanging="2"/>
        <w:jc w:val="center"/>
        <w:rPr>
          <w:color w:val="FF0000"/>
          <w:sz w:val="24"/>
          <w:szCs w:val="24"/>
        </w:rPr>
      </w:pPr>
      <w:r>
        <w:rPr>
          <w:b/>
          <w:sz w:val="24"/>
          <w:szCs w:val="24"/>
        </w:rPr>
        <w:t xml:space="preserve"> CHAMAMENTO PÚBLICO </w:t>
      </w:r>
      <w:r w:rsidR="00A46D12">
        <w:rPr>
          <w:b/>
          <w:color w:val="FF0000"/>
          <w:sz w:val="24"/>
          <w:szCs w:val="24"/>
          <w:u w:val="single"/>
        </w:rPr>
        <w:t>_______</w:t>
      </w:r>
      <w:r>
        <w:rPr>
          <w:b/>
          <w:color w:val="FF0000"/>
          <w:sz w:val="24"/>
          <w:szCs w:val="24"/>
          <w:u w:val="single"/>
        </w:rPr>
        <w:t>/202</w:t>
      </w:r>
      <w:r w:rsidR="00A46D12">
        <w:rPr>
          <w:b/>
          <w:color w:val="FF0000"/>
          <w:sz w:val="24"/>
          <w:szCs w:val="24"/>
          <w:u w:val="single"/>
        </w:rPr>
        <w:t xml:space="preserve">5 </w:t>
      </w:r>
    </w:p>
    <w:p w14:paraId="3DD20A24" w14:textId="77777777" w:rsidR="007D7E2B" w:rsidRDefault="00BB188D">
      <w:pPr>
        <w:shd w:val="clear" w:color="auto" w:fill="FFFFFF"/>
        <w:spacing w:after="0" w:line="276" w:lineRule="auto"/>
        <w:ind w:left="0" w:hanging="2"/>
        <w:jc w:val="center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REDE </w:t>
      </w:r>
      <w:r w:rsidRPr="00BB0DAA">
        <w:rPr>
          <w:sz w:val="24"/>
          <w:szCs w:val="24"/>
        </w:rPr>
        <w:t>MUNICIPAL</w:t>
      </w:r>
      <w:r w:rsidR="00BB0DAA"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DE PONTOS DE CULTURA DE </w:t>
      </w:r>
      <w:r w:rsidR="00BB0DAA" w:rsidRPr="00BB0DAA">
        <w:rPr>
          <w:sz w:val="24"/>
          <w:szCs w:val="24"/>
        </w:rPr>
        <w:t>ALAGOINHAS BAHIA</w:t>
      </w:r>
    </w:p>
    <w:p w14:paraId="3DDBD77A" w14:textId="77777777" w:rsidR="007D7E2B" w:rsidRDefault="00BB188D">
      <w:pPr>
        <w:shd w:val="clear" w:color="auto" w:fill="FFFFFF"/>
        <w:spacing w:after="0" w:line="276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5E63957" w14:textId="77777777" w:rsidR="007D7E2B" w:rsidRDefault="00BB188D">
      <w:pP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CULTURA VIVA DO TAMANHO DO BRASIL!</w:t>
      </w:r>
    </w:p>
    <w:p w14:paraId="5C328629" w14:textId="77777777" w:rsidR="007D7E2B" w:rsidRDefault="00BB188D">
      <w:pP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FOMENTO A PROJETOS CONTINUADOS DE PONTOS DE CULTURA</w:t>
      </w:r>
    </w:p>
    <w:p w14:paraId="1951BEA5" w14:textId="77777777" w:rsidR="007D7E2B" w:rsidRDefault="007D7E2B">
      <w:pPr>
        <w:shd w:val="clear" w:color="auto" w:fill="FFFFFF"/>
        <w:spacing w:after="0" w:line="240" w:lineRule="auto"/>
        <w:ind w:left="0" w:hanging="2"/>
        <w:jc w:val="center"/>
        <w:rPr>
          <w:sz w:val="24"/>
          <w:szCs w:val="24"/>
        </w:rPr>
      </w:pPr>
    </w:p>
    <w:p w14:paraId="700B7B0F" w14:textId="77777777" w:rsidR="007D7E2B" w:rsidRDefault="00BB188D">
      <w:pPr>
        <w:tabs>
          <w:tab w:val="center" w:pos="0"/>
        </w:tabs>
        <w:spacing w:before="120" w:after="120" w:line="240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ANEXO 10 - MINUTA DE TERMO DE COMPROMISSO CULTURAL - PONTO DE CULTURA </w:t>
      </w:r>
    </w:p>
    <w:p w14:paraId="037CD45B" w14:textId="77777777" w:rsidR="007D7E2B" w:rsidRDefault="00BB188D">
      <w:pPr>
        <w:keepNext/>
        <w:spacing w:after="0" w:line="240" w:lineRule="auto"/>
        <w:ind w:left="0" w:hanging="2"/>
        <w:jc w:val="center"/>
        <w:rPr>
          <w:sz w:val="20"/>
          <w:szCs w:val="20"/>
        </w:rPr>
      </w:pPr>
      <w:r>
        <w:rPr>
          <w:i/>
          <w:color w:val="FF0000"/>
          <w:sz w:val="20"/>
          <w:szCs w:val="20"/>
        </w:rPr>
        <w:t>(Rubricar todas as páginas</w:t>
      </w:r>
    </w:p>
    <w:p w14:paraId="66EB5BBB" w14:textId="77777777" w:rsidR="007D7E2B" w:rsidRDefault="007D7E2B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</w:p>
    <w:p w14:paraId="6E2B095F" w14:textId="77777777" w:rsidR="007D7E2B" w:rsidRDefault="00BB188D">
      <w:pPr>
        <w:spacing w:before="120" w:after="120" w:line="240" w:lineRule="auto"/>
        <w:ind w:left="0" w:hanging="2"/>
        <w:jc w:val="both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 xml:space="preserve">TERMO DE COMPROMISSO CULTURAL Nº </w:t>
      </w:r>
      <w:r>
        <w:rPr>
          <w:b/>
          <w:color w:val="FF0000"/>
          <w:sz w:val="24"/>
          <w:szCs w:val="24"/>
        </w:rPr>
        <w:t>XX/2023</w:t>
      </w:r>
    </w:p>
    <w:tbl>
      <w:tblPr>
        <w:tblStyle w:val="afe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77310B98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1365B2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>FINALIDADE</w:t>
            </w:r>
          </w:p>
        </w:tc>
      </w:tr>
      <w:tr w:rsidR="007D7E2B" w14:paraId="4283FA3B" w14:textId="77777777">
        <w:trPr>
          <w:trHeight w:val="1635"/>
        </w:trPr>
        <w:tc>
          <w:tcPr>
            <w:tcW w:w="99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6AD52" w14:textId="2C8C1966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 </w:t>
            </w:r>
            <w:r w:rsidR="00A46D12">
              <w:rPr>
                <w:color w:val="FF0000"/>
                <w:sz w:val="24"/>
                <w:szCs w:val="24"/>
              </w:rPr>
              <w:t xml:space="preserve"> MUNICÍPIO DE ALAGOINHAS – BAHIA  </w:t>
            </w:r>
            <w:r>
              <w:rPr>
                <w:color w:val="FF0000"/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representado </w:t>
            </w:r>
            <w:r w:rsidR="00A46D12">
              <w:rPr>
                <w:sz w:val="24"/>
                <w:szCs w:val="24"/>
              </w:rPr>
              <w:t>pela SECRETARIA  MUNICIPAL DE CULTURA, ESPORTE E TURISMO DE ALAGOINHAS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, e a ENTIDADE CULTURAL celebram o presente TERMO DE COMPROMISSO CULTURAL - TCC, com a finalidade de executar Projeto Cultural, nos termos do Plano de Trabalho anexo, para implementação da Política Nacional de Cultura Viva </w:t>
            </w:r>
            <w:r>
              <w:rPr>
                <w:sz w:val="24"/>
                <w:szCs w:val="24"/>
              </w:rPr>
              <w:t>– PNCV, mediante as condições estipuladas em suas Cláusulas, nos termos da Lei nº 14.399, de 08 de julho de 2022 (PNAB), do Decreto nº 11.740, de 18 de outubro de 2023, e Portaria MinC nº 80, de 27 de outubro de 2023 (Regulamentam a PNAB), do Decreto nº 11</w:t>
            </w:r>
            <w:r>
              <w:rPr>
                <w:sz w:val="24"/>
                <w:szCs w:val="24"/>
              </w:rPr>
              <w:t>.453, de 23 de março de 2023 (Decreto de Fomento), da Lei nº 13.018, de 22 de julho de 2014 (Lei Cultura Viva), da Instrução Normativa /MinC nº 08, de 11 de maio de 2016 (IN Cultura Viva).</w:t>
            </w:r>
          </w:p>
        </w:tc>
      </w:tr>
    </w:tbl>
    <w:p w14:paraId="5C23824C" w14:textId="77777777" w:rsidR="007D7E2B" w:rsidRDefault="007D7E2B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</w:p>
    <w:tbl>
      <w:tblPr>
        <w:tblStyle w:val="aff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0"/>
        <w:gridCol w:w="1849"/>
        <w:gridCol w:w="1507"/>
        <w:gridCol w:w="3486"/>
      </w:tblGrid>
      <w:tr w:rsidR="007D7E2B" w14:paraId="1B47EC42" w14:textId="77777777">
        <w:trPr>
          <w:trHeight w:val="525"/>
        </w:trPr>
        <w:tc>
          <w:tcPr>
            <w:tcW w:w="99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4A87C8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>IDENTIFICAÇÃO DAS PARTES</w:t>
            </w:r>
          </w:p>
        </w:tc>
      </w:tr>
      <w:tr w:rsidR="007D7E2B" w14:paraId="68B8B50C" w14:textId="77777777">
        <w:trPr>
          <w:trHeight w:val="525"/>
        </w:trPr>
        <w:tc>
          <w:tcPr>
            <w:tcW w:w="9972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3F695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2.1. ENTE PÚBLICO</w:t>
            </w:r>
          </w:p>
        </w:tc>
      </w:tr>
      <w:tr w:rsidR="007D7E2B" w14:paraId="37C1B814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67F0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Razão </w:t>
            </w:r>
            <w:r>
              <w:rPr>
                <w:sz w:val="24"/>
                <w:szCs w:val="24"/>
              </w:rPr>
              <w:t>Social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90C425" w14:textId="566EEE00" w:rsidR="007D7E2B" w:rsidRDefault="00A46D12" w:rsidP="00A46D12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PREFEITURA MUNICIPAL DE ALAGOINHAS</w:t>
            </w:r>
          </w:p>
        </w:tc>
      </w:tr>
      <w:tr w:rsidR="007D7E2B" w14:paraId="2E923D58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BF9BA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C40F7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06FDFFC3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482F2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completo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45273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00A2343B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4997B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responsável legal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4DD99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20C6D9DF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BA66F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0D000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0495905C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104E0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Registro Geral (RG)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44B61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9F9A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BB541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6EFC6FE4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CFCE0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Ato de nomeação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1F8349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4EDE28E5" w14:textId="77777777">
        <w:trPr>
          <w:trHeight w:val="525"/>
        </w:trPr>
        <w:tc>
          <w:tcPr>
            <w:tcW w:w="99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5D7F0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2.2. ENTIDADE CULTURAL</w:t>
            </w:r>
          </w:p>
        </w:tc>
      </w:tr>
      <w:tr w:rsidR="007D7E2B" w14:paraId="3C18E832" w14:textId="77777777">
        <w:trPr>
          <w:trHeight w:val="540"/>
        </w:trPr>
        <w:tc>
          <w:tcPr>
            <w:tcW w:w="3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D3C9B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Razão Social</w:t>
            </w:r>
          </w:p>
        </w:tc>
        <w:tc>
          <w:tcPr>
            <w:tcW w:w="6842" w:type="dxa"/>
            <w:gridSpan w:val="3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EF046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5A885B06" w14:textId="77777777" w:rsidR="007D7E2B" w:rsidRDefault="007D7E2B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</w:p>
        </w:tc>
      </w:tr>
      <w:tr w:rsidR="007D7E2B" w14:paraId="15AD72D5" w14:textId="77777777">
        <w:trPr>
          <w:trHeight w:val="540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909909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4BC41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474883A2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1B00C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completo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F9193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1799C1DC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EEA9F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responsável legal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FBCAA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1A762BFE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AEC4F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C688A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5A6DBCC4" w14:textId="77777777">
        <w:trPr>
          <w:trHeight w:val="52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8277B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Registro Geral (RG)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380D36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5FA702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96E21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7D7E2B" w14:paraId="32871384" w14:textId="77777777">
        <w:trPr>
          <w:trHeight w:val="795"/>
        </w:trPr>
        <w:tc>
          <w:tcPr>
            <w:tcW w:w="3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EF8EA2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completo do responsável legal</w:t>
            </w:r>
          </w:p>
        </w:tc>
        <w:tc>
          <w:tcPr>
            <w:tcW w:w="6842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FB81E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030486C6" w14:textId="77777777" w:rsidR="007D7E2B" w:rsidRDefault="00BB188D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</w:t>
      </w:r>
      <w:r>
        <w:rPr>
          <w:sz w:val="24"/>
          <w:szCs w:val="24"/>
        </w:rPr>
        <w:tab/>
      </w:r>
    </w:p>
    <w:tbl>
      <w:tblPr>
        <w:tblStyle w:val="aff0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7269A836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B308E8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>OBJETO</w:t>
            </w:r>
          </w:p>
        </w:tc>
      </w:tr>
      <w:tr w:rsidR="007D7E2B" w14:paraId="416D6AC3" w14:textId="77777777">
        <w:trPr>
          <w:trHeight w:val="1080"/>
        </w:trPr>
        <w:tc>
          <w:tcPr>
            <w:tcW w:w="99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672118" w14:textId="7ECC0D11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3.1.</w:t>
            </w:r>
            <w:r>
              <w:rPr>
                <w:sz w:val="24"/>
                <w:szCs w:val="24"/>
              </w:rPr>
              <w:t xml:space="preserve"> O presente Termo de Compromisso Cultural-TCC tem como objeto a execução de projeto selecionado no</w:t>
            </w:r>
            <w:r>
              <w:rPr>
                <w:color w:val="FF0000"/>
                <w:sz w:val="24"/>
                <w:szCs w:val="24"/>
              </w:rPr>
              <w:t xml:space="preserve"> Edital </w:t>
            </w:r>
            <w:r w:rsidR="00A46D12">
              <w:rPr>
                <w:color w:val="FF0000"/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highlight w:val="white"/>
              </w:rPr>
              <w:t>que visa a promoção do acesso da população aos bens e aos serviços culturais nos territórios e comunidades onde atuam, nos termos da Política Nacional de Cultura Viva - PNCV, conforme Plano de Trabalho anexo.</w:t>
            </w:r>
          </w:p>
        </w:tc>
      </w:tr>
    </w:tbl>
    <w:p w14:paraId="1DA59AE6" w14:textId="77777777" w:rsidR="007D7E2B" w:rsidRDefault="00BB188D">
      <w:pPr>
        <w:ind w:left="0" w:hanging="2"/>
      </w:pPr>
      <w:r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ab/>
        <w:t xml:space="preserve">                                                 </w:t>
      </w:r>
      <w:r>
        <w:rPr>
          <w:sz w:val="24"/>
          <w:szCs w:val="24"/>
        </w:rPr>
        <w:tab/>
      </w:r>
    </w:p>
    <w:tbl>
      <w:tblPr>
        <w:tblStyle w:val="aff1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7041146A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343E25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</w:t>
            </w:r>
            <w:r>
              <w:rPr>
                <w:b/>
                <w:color w:val="000000"/>
                <w:sz w:val="24"/>
                <w:szCs w:val="24"/>
              </w:rPr>
              <w:t>OBRIGAÇÕES DAS PARTES</w:t>
            </w:r>
          </w:p>
        </w:tc>
      </w:tr>
      <w:tr w:rsidR="007D7E2B" w14:paraId="563A8674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B913D5" w14:textId="27C69AC1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4.1.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t xml:space="preserve">Do </w:t>
            </w:r>
            <w:r w:rsidR="00A46D1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M</w:t>
            </w:r>
            <w:r w:rsidR="00A46D12">
              <w:rPr>
                <w:b/>
                <w:sz w:val="24"/>
                <w:szCs w:val="24"/>
              </w:rPr>
              <w:t>unicípio de Alagoinhas (BA)</w:t>
            </w:r>
          </w:p>
        </w:tc>
      </w:tr>
      <w:tr w:rsidR="007D7E2B" w14:paraId="2DF519B0" w14:textId="77777777">
        <w:trPr>
          <w:trHeight w:val="699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44F333" w14:textId="1AEB9E6F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Incumbe à </w:t>
            </w:r>
            <w:r w:rsidR="00A46D12">
              <w:rPr>
                <w:color w:val="FF0000"/>
                <w:sz w:val="24"/>
                <w:szCs w:val="24"/>
              </w:rPr>
              <w:t>SECRETARIA MUNICIPAL  DE CULTURA, ESPORTE E TURISMO</w:t>
            </w:r>
            <w:r>
              <w:rPr>
                <w:sz w:val="24"/>
                <w:szCs w:val="24"/>
              </w:rPr>
              <w:t xml:space="preserve"> observar as obrigações descritas na Instrução legislação de regência, e as seguintes responsabilidades:</w:t>
            </w:r>
          </w:p>
          <w:p w14:paraId="5632A3F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coordenar a gestão da PNCV, no âmbito de sua esfera de atuação;</w:t>
            </w:r>
          </w:p>
          <w:p w14:paraId="6FC8727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atuar em parceria federativa junto ao governo federal, governos estaduais, do </w:t>
            </w:r>
            <w:r>
              <w:rPr>
                <w:sz w:val="24"/>
                <w:szCs w:val="24"/>
              </w:rPr>
              <w:t>Distrito Federal e municipais, e outras instituições, para efetivação dos objetivos da PNCV previstos em lei;</w:t>
            </w:r>
          </w:p>
          <w:p w14:paraId="77DD6E7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realizar planejamento de desenvolvimento da PNCV, observando o Plano Nacional de Cultura e planos de cultura locais;</w:t>
            </w:r>
          </w:p>
          <w:p w14:paraId="04E2CC1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IV - garantir</w:t>
            </w:r>
            <w:r>
              <w:rPr>
                <w:sz w:val="24"/>
                <w:szCs w:val="24"/>
              </w:rPr>
              <w:t xml:space="preserve"> recursos humanos, orçamentários, financeiros, logísticos e tecnológicos para implementação da PNCV e efetividade de seus resultados;</w:t>
            </w:r>
          </w:p>
          <w:p w14:paraId="0BBBEBD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-  desenvolver uma gestão pública compartilhada e participativa, por meio da organização e institucionalização das instâ</w:t>
            </w:r>
            <w:r>
              <w:rPr>
                <w:sz w:val="24"/>
                <w:szCs w:val="24"/>
              </w:rPr>
              <w:t>ncias, fóruns e espaços de diálogos institucionais entre os partícipes da PNCV, em sua área de abrangência territorial;</w:t>
            </w:r>
          </w:p>
          <w:p w14:paraId="43526E8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 - desenvolver</w:t>
            </w:r>
            <w:r>
              <w:rPr>
                <w:sz w:val="24"/>
                <w:szCs w:val="24"/>
              </w:rPr>
              <w:t xml:space="preserve"> as ações estruturantes da PNCV por meio de políticas públicas integradas visando a promoção em uma cultura de direitos humanos e de valorização da cidadania e da diversidade artística e cultural;</w:t>
            </w:r>
          </w:p>
          <w:p w14:paraId="4C66A3A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 - disponibilizar e manter em funcionamento o Cadastro N</w:t>
            </w:r>
            <w:r>
              <w:rPr>
                <w:sz w:val="24"/>
                <w:szCs w:val="24"/>
              </w:rPr>
              <w:t>acional dos Pontos e Pontões de Cultura, no âmbito de sua esfera de atuação;</w:t>
            </w:r>
          </w:p>
          <w:p w14:paraId="18A043F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VIII - fomentar ações para qualificação e formação de gestores, dirigentes de entidades culturais e outros agentes envolvidos no âmbito da PNCV;</w:t>
            </w:r>
          </w:p>
          <w:p w14:paraId="575CF4F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IX - dar ciência da celebração de </w:t>
            </w:r>
            <w:r>
              <w:rPr>
                <w:sz w:val="24"/>
                <w:szCs w:val="24"/>
              </w:rPr>
              <w:t>parcerias federativas, no que couber, aos conselhos de cultura, assembleias legislativas e câmaras municipais de vereadores para efeitos de acompanhamento e fiscalização;</w:t>
            </w:r>
          </w:p>
          <w:p w14:paraId="242F4A9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- promover ações de publicidade da PNCV que proporcionem controle social, transparê</w:t>
            </w:r>
            <w:r>
              <w:rPr>
                <w:sz w:val="24"/>
                <w:szCs w:val="24"/>
              </w:rPr>
              <w:t>ncia pública e visibilidade das ações junto à sociedade;</w:t>
            </w:r>
          </w:p>
          <w:p w14:paraId="454DD4B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 - contribuir para o fortalecimento da atuação em redes territoriais, identitárias e temáticas no âmbito da PNCV;</w:t>
            </w:r>
          </w:p>
          <w:p w14:paraId="55E6DB28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 - realizar os atos e os procedimentos relativos à formalização, execução, acomp</w:t>
            </w:r>
            <w:r>
              <w:rPr>
                <w:sz w:val="24"/>
                <w:szCs w:val="24"/>
              </w:rPr>
              <w:t>anhamento e análise da prestação de contas do presente TCC;</w:t>
            </w:r>
          </w:p>
          <w:p w14:paraId="1472637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XIII - realizar os procedimentos relativos à Tomada de Contas Especial, quando for o caso;</w:t>
            </w:r>
          </w:p>
          <w:p w14:paraId="035EFFE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XIV - cumprir com os procedimentos de transparência e publicidade atribuídos ao poder público conforme o </w:t>
            </w:r>
            <w:r>
              <w:rPr>
                <w:sz w:val="24"/>
                <w:szCs w:val="24"/>
              </w:rPr>
              <w:t>disposto na Seção III da IN MinC nº 08 de 11 de maio de 2016;</w:t>
            </w:r>
          </w:p>
          <w:p w14:paraId="6E8C5726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XV - repassar os recursos financeiros ao PONTO DE CULTURA, de acordo com a programação orçamentária e financeira do ente público, obedecendo ao cronograma financeiro constante deste instrumento </w:t>
            </w:r>
            <w:r>
              <w:rPr>
                <w:sz w:val="24"/>
                <w:szCs w:val="24"/>
              </w:rPr>
              <w:t>e do plano de trabalho;</w:t>
            </w:r>
          </w:p>
          <w:p w14:paraId="18F82DE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XVI - prorrogar “de ofício” o prazo de vigência do TCC antes do seu término, quando der causa ao atraso na liberação dos recursos, limitada à prorrogação ao exato período do atraso verificado;</w:t>
            </w:r>
          </w:p>
          <w:p w14:paraId="04062D1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XVII - aplicar as penalidades previstas</w:t>
            </w:r>
            <w:r>
              <w:rPr>
                <w:sz w:val="24"/>
                <w:szCs w:val="24"/>
              </w:rPr>
              <w:t xml:space="preserve"> e proceder às ações administrativas necessárias à exigência da restituição dos recursos transferidos;</w:t>
            </w:r>
          </w:p>
          <w:p w14:paraId="7BFBD4D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XVIII - comunicar aos Pontos e Pontões de Cultura a identificação de quaisquer irregularidades decorrentes do uso dos recursos ou pendências de ordem téc</w:t>
            </w:r>
            <w:r>
              <w:rPr>
                <w:sz w:val="24"/>
                <w:szCs w:val="24"/>
              </w:rPr>
              <w:t>nica, podendo suspender a liberação de recursos e fixar prazo de trinta dias para saneamento ou apresentação de justificativa com informações e esclarecimentos, prorrogável uma única vez por igual período.</w:t>
            </w:r>
          </w:p>
          <w:p w14:paraId="0720487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XIX - analisar a prestação de contas dos recursos </w:t>
            </w:r>
            <w:r>
              <w:rPr>
                <w:sz w:val="24"/>
                <w:szCs w:val="24"/>
              </w:rPr>
              <w:t>aplicados na consecução do objeto deste TCC, na forma e prazo fixados no Decreto nº 11.453/2023 e no art. 47 da IN MinC nº 08/2016;</w:t>
            </w:r>
          </w:p>
          <w:p w14:paraId="7C89D94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XX - nos casos em que o PONTO DE CULTURA não apresentar o Relatório de Execução do Objeto ou o Relatório de Execução Finance</w:t>
            </w:r>
            <w:r>
              <w:rPr>
                <w:sz w:val="24"/>
                <w:szCs w:val="24"/>
              </w:rPr>
              <w:t>ira nos prazos devidos, enviar notificação exigindo que o faça no prazo máximo de trinta dias, sob pena de rejeição das contas e exigência de devolução integral dos recursos, com atualização monetária e juros;</w:t>
            </w:r>
          </w:p>
          <w:p w14:paraId="4F61218E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XXI - exercer, se conveniente e oportuno, a pr</w:t>
            </w:r>
            <w:r>
              <w:rPr>
                <w:sz w:val="24"/>
                <w:szCs w:val="24"/>
              </w:rPr>
              <w:t>errogativa de assumir ou de transferir a responsabilidade pela execução do objeto, no caso de paralisação ou da ocorrência de fato relevante, de modo a evitar sua descontinuidade.</w:t>
            </w:r>
          </w:p>
          <w:p w14:paraId="5C51173B" w14:textId="77777777" w:rsidR="007D7E2B" w:rsidRDefault="007D7E2B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</w:p>
        </w:tc>
      </w:tr>
      <w:tr w:rsidR="007D7E2B" w14:paraId="76C0E843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733F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4.2.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t>Da Entidade Cultural</w:t>
            </w:r>
          </w:p>
        </w:tc>
      </w:tr>
      <w:tr w:rsidR="007D7E2B" w14:paraId="3DBCDE99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9B3D4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Incumbe à Entidade Cultural observar as </w:t>
            </w:r>
            <w:r>
              <w:rPr>
                <w:sz w:val="24"/>
                <w:szCs w:val="24"/>
              </w:rPr>
              <w:t>obrigações descritas na legislação de regência e, ainda, as seguintes responsabilidades:</w:t>
            </w:r>
          </w:p>
          <w:p w14:paraId="1B8A14F9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executar o projeto conforme Plano de Trabalho aprovado e produzir provas documentais sobre o andamento da execução do projeto, inclusive das alterações no Plano de</w:t>
            </w:r>
            <w:r>
              <w:rPr>
                <w:sz w:val="24"/>
                <w:szCs w:val="24"/>
              </w:rPr>
              <w:t xml:space="preserve"> Trabalho;</w:t>
            </w:r>
          </w:p>
          <w:p w14:paraId="1B5361E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cumprir com os procedimentos de transparência e publicidade atribuídos à entidade cultural conforme o disposto no Capítulo IV,  Seção III da IN MinC nº 08 de 11 de maio de 2016;</w:t>
            </w:r>
          </w:p>
          <w:p w14:paraId="68E0E09E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III - divulgar, em destaque, o nome do Ministério da </w:t>
            </w:r>
            <w:r>
              <w:rPr>
                <w:sz w:val="24"/>
                <w:szCs w:val="24"/>
              </w:rPr>
              <w:t>Cultura/Governo Federal e do ENTE PÚBLICO parceiro em todos os atos de promoção e divulgação do projeto, obedecendo aos critérios de veiculação das logomarcas estabelecidas, que serão disponibilizadas pela SCDC/MinC e pelo ENTE PÚBLICO parceiro, observadas</w:t>
            </w:r>
            <w:r>
              <w:rPr>
                <w:sz w:val="24"/>
                <w:szCs w:val="24"/>
              </w:rPr>
              <w:t xml:space="preserve"> as restrições vigentes em ano eleitoral, quando for o caso;</w:t>
            </w:r>
          </w:p>
          <w:p w14:paraId="1616029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- desenvolver uma gestão compartilhada e participativa, por meio de instâncias, fóruns e espaços de diálogos junto aos beneficiários em sua área de abrangência;</w:t>
            </w:r>
          </w:p>
          <w:p w14:paraId="656E11A0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- envidar esforços visando at</w:t>
            </w:r>
            <w:r>
              <w:rPr>
                <w:sz w:val="24"/>
                <w:szCs w:val="24"/>
              </w:rPr>
              <w:t>uar nos processos participativos instituídos pelo Sistema Nacional de Cultura-SNC (especialmente as Conferências de Cultura) e pela PNCV (especialmente as TEIAs) em âmbito local, regional e nacional;</w:t>
            </w:r>
          </w:p>
          <w:p w14:paraId="4AA71ED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 - estimular a participação ativa dos beneficiários da</w:t>
            </w:r>
            <w:r>
              <w:rPr>
                <w:sz w:val="24"/>
                <w:szCs w:val="24"/>
              </w:rPr>
              <w:t xml:space="preserve"> PNCV nos processos participativos instituídos no SNC e na PNCV em âmbito local, regional e nacional;</w:t>
            </w:r>
          </w:p>
          <w:p w14:paraId="0857C1CE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 - contribuir com a organização e funcionamento da Rede Cultura Viva e de suas instâncias, mecanismos e processos de gestão compartilhada, participação</w:t>
            </w:r>
            <w:r>
              <w:rPr>
                <w:sz w:val="24"/>
                <w:szCs w:val="24"/>
              </w:rPr>
              <w:t xml:space="preserve"> e controle social;</w:t>
            </w:r>
          </w:p>
          <w:p w14:paraId="29B2B42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VIII - manter seus dados cadastrais atualizados no Cadastro Nacional de Pontos e Pontões de Cultura, atendendo à chamada anual de atualização de dados;</w:t>
            </w:r>
          </w:p>
          <w:p w14:paraId="47B7395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IX - dar transparência aos valores pagos a título de remuneração de sua equipe de tr</w:t>
            </w:r>
            <w:r>
              <w:rPr>
                <w:sz w:val="24"/>
                <w:szCs w:val="24"/>
              </w:rPr>
              <w:t xml:space="preserve">abalho vinculada à execução do TCC, em sua sede e no seu sítio eletrônico, sendo vedado o pagamento, a qualquer título, a servidor ou empregado público, salvo nas hipóteses previstas em lei específica ou na Lei de </w:t>
            </w:r>
            <w:r>
              <w:rPr>
                <w:sz w:val="24"/>
                <w:szCs w:val="24"/>
              </w:rPr>
              <w:lastRenderedPageBreak/>
              <w:t>Diretrizes Orçamentárias, a empresas priva</w:t>
            </w:r>
            <w:r>
              <w:rPr>
                <w:sz w:val="24"/>
                <w:szCs w:val="24"/>
              </w:rPr>
              <w:t>das que tenham em seu quadro societário servidor público da ativa, ou a empregado de empresa pública, ou de sociedade de economia mista, por serviços prestados, inclusive consultoria, assistência técnica ou assemelhados;</w:t>
            </w:r>
          </w:p>
          <w:p w14:paraId="5B1F259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- permitir livre acesso dos servi</w:t>
            </w:r>
            <w:r>
              <w:rPr>
                <w:sz w:val="24"/>
                <w:szCs w:val="24"/>
              </w:rPr>
              <w:t>dores dos órgãos ou das entidades públicas repassadoras dos recursos, do controle interno e do tribunal de contas correspondentes aos processos, aos documentos, às informações referentes aos instrumentos de transferências regulamentados pela Instrução Norm</w:t>
            </w:r>
            <w:r>
              <w:rPr>
                <w:sz w:val="24"/>
                <w:szCs w:val="24"/>
              </w:rPr>
              <w:t>ativa/MinC nº 8/2016, bem como aos locais de execução do objeto;</w:t>
            </w:r>
          </w:p>
          <w:p w14:paraId="54F1855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XI - a responsabilidade exclusiva pelo gerenciamento administrativo e financeiro dos recursos recebidos; </w:t>
            </w:r>
          </w:p>
          <w:p w14:paraId="50954DF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 - pagar os encargos trabalhistas, previdenciários, fiscais e comerciais relativos</w:t>
            </w:r>
            <w:r>
              <w:rPr>
                <w:sz w:val="24"/>
                <w:szCs w:val="24"/>
              </w:rPr>
              <w:t xml:space="preserve"> ao funcionamento da instituição e ao adimplemento do TCC, não se caracterizando responsabilidade solidária ou subsidiária da administração pública concedente pelos respectivos pagamentos ou qualquer oneração do objeto da parceria ou restrição à sua execuç</w:t>
            </w:r>
            <w:r>
              <w:rPr>
                <w:sz w:val="24"/>
                <w:szCs w:val="24"/>
              </w:rPr>
              <w:t>ão;</w:t>
            </w:r>
          </w:p>
          <w:p w14:paraId="0ADDFEF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XIII - prestar contas dos recursos recebidos, conforme acordado neste Termo e  na forma dos atos normativos que se relacionam com o tema;</w:t>
            </w:r>
          </w:p>
          <w:p w14:paraId="018BF11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XIV - guardar os documentos originais de comprovação do cumprimento do objeto pelo prazo de cinco anos após a entr</w:t>
            </w:r>
            <w:r>
              <w:rPr>
                <w:sz w:val="24"/>
                <w:szCs w:val="24"/>
              </w:rPr>
              <w:t>ega da prestação de contas, estando ciente de que a documentação de comprovação fiscal em princípio não será exigida, mas deve ser obtida e guardada pela entidade cultural pelo mesmo prazo, e inclusive pode ser solicitada para fins de demonstração de cumpr</w:t>
            </w:r>
            <w:r>
              <w:rPr>
                <w:sz w:val="24"/>
                <w:szCs w:val="24"/>
              </w:rPr>
              <w:t>imento de obrigações perante outras autoridades estatais, tais como os órgãos de fiscalização tributária, previdenciária e trabalhista, órgãos de controle interno e externo do Governo Estadual ou Federal; e</w:t>
            </w:r>
          </w:p>
          <w:p w14:paraId="70AD26F8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XV - adquirir e manter em bom estado equipamentos</w:t>
            </w:r>
            <w:r>
              <w:rPr>
                <w:sz w:val="24"/>
                <w:szCs w:val="24"/>
              </w:rPr>
              <w:t xml:space="preserve"> multimídia, direcionados à cultura digital, que contribuam com o objeto pactuado, salvo quando a Entidade declare que já possui equipamento em adequadas condições de manutenção e funcionamento, comprometendo-se a disponibilizá-lo para uso na execução da p</w:t>
            </w:r>
            <w:r>
              <w:rPr>
                <w:sz w:val="24"/>
                <w:szCs w:val="24"/>
              </w:rPr>
              <w:t>arceria.</w:t>
            </w:r>
          </w:p>
        </w:tc>
      </w:tr>
    </w:tbl>
    <w:p w14:paraId="11B4652F" w14:textId="77777777" w:rsidR="007D7E2B" w:rsidRDefault="007D7E2B">
      <w:pPr>
        <w:ind w:left="0" w:hanging="2"/>
      </w:pPr>
    </w:p>
    <w:tbl>
      <w:tblPr>
        <w:tblStyle w:val="aff2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4E99B2B2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A6822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 </w:t>
            </w:r>
            <w:r>
              <w:rPr>
                <w:b/>
                <w:color w:val="000000"/>
                <w:sz w:val="24"/>
                <w:szCs w:val="24"/>
              </w:rPr>
              <w:t>DOS VALORES</w:t>
            </w:r>
          </w:p>
        </w:tc>
      </w:tr>
      <w:tr w:rsidR="007D7E2B" w14:paraId="570B8D47" w14:textId="77777777">
        <w:trPr>
          <w:trHeight w:val="139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694867" w14:textId="497AE91C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 execução das atividades previstas no Plano de Trabalho deste TCC, serão disponibilizados pelo Ente Público recursos no valor total de</w:t>
            </w:r>
            <w:r>
              <w:rPr>
                <w:color w:val="FF0000"/>
                <w:sz w:val="24"/>
                <w:szCs w:val="24"/>
              </w:rPr>
              <w:t xml:space="preserve"> R$XXXX,</w:t>
            </w:r>
            <w:r>
              <w:rPr>
                <w:sz w:val="24"/>
                <w:szCs w:val="24"/>
              </w:rPr>
              <w:t xml:space="preserve"> em parcela única, de acordo com o Cronograma de Desembolso constante do Plano de Trabalho, correspondente à Nota de Empenho </w:t>
            </w:r>
            <w:r>
              <w:rPr>
                <w:color w:val="FF0000"/>
                <w:sz w:val="24"/>
                <w:szCs w:val="24"/>
              </w:rPr>
              <w:t>XXXX, de XX/XX/202</w:t>
            </w:r>
            <w:r w:rsidR="00A46D12">
              <w:rPr>
                <w:color w:val="FF0000"/>
                <w:sz w:val="24"/>
                <w:szCs w:val="24"/>
              </w:rPr>
              <w:t>5</w:t>
            </w:r>
            <w:r>
              <w:rPr>
                <w:color w:val="FF0000"/>
                <w:sz w:val="24"/>
                <w:szCs w:val="24"/>
              </w:rPr>
              <w:t>.</w:t>
            </w:r>
          </w:p>
        </w:tc>
      </w:tr>
      <w:tr w:rsidR="007D7E2B" w14:paraId="058DC6AD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7D25A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5.1 </w:t>
            </w:r>
            <w:r>
              <w:rPr>
                <w:b/>
                <w:color w:val="000000"/>
                <w:sz w:val="24"/>
                <w:szCs w:val="24"/>
              </w:rPr>
              <w:t>Da movimentação dos recursos financeiros</w:t>
            </w:r>
          </w:p>
        </w:tc>
      </w:tr>
      <w:tr w:rsidR="007D7E2B" w14:paraId="1CA66EEE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0B979E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Os recursos referentes ao presente Termo de Compromisso Cultural, a serem desembolsados pelo Ente Público, serão depositados e geridos em conta específica de instituição financeira indicada pela entidade cultural, na </w:t>
            </w:r>
            <w:r>
              <w:rPr>
                <w:color w:val="FF0000"/>
                <w:sz w:val="24"/>
                <w:szCs w:val="24"/>
              </w:rPr>
              <w:t>Agência XXXX – Banco XXXX, na cidade XX</w:t>
            </w:r>
            <w:r>
              <w:rPr>
                <w:color w:val="FF0000"/>
                <w:sz w:val="24"/>
                <w:szCs w:val="24"/>
              </w:rPr>
              <w:t>XX, UF XX,</w:t>
            </w:r>
            <w:r>
              <w:rPr>
                <w:sz w:val="24"/>
                <w:szCs w:val="24"/>
              </w:rPr>
              <w:t xml:space="preserve"> em conformidade com os prazos estabelecidos no Cronograma Financeiro constante do Plano de Trabalho.</w:t>
            </w:r>
          </w:p>
          <w:p w14:paraId="76C447C9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5.1.1 Os recursos depositados nesta conta bancária específica, enquanto não empregados na sua finalidade, serão obrigatoriamente aplicados:</w:t>
            </w:r>
          </w:p>
          <w:p w14:paraId="6302DD7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r>
              <w:rPr>
                <w:sz w:val="24"/>
                <w:szCs w:val="24"/>
              </w:rPr>
              <w:t>em caderneta de poupança, ou</w:t>
            </w:r>
          </w:p>
          <w:p w14:paraId="7FF7B470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em fundo de aplicação financeira de curto prazo ou operação de mercado aberto lastreada em título da dívida pública.</w:t>
            </w:r>
          </w:p>
          <w:p w14:paraId="5CD21716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5.1.2 Os recursos deste Termo de Compromisso Cultural serão utilizados exclusivamente para o pagamento da</w:t>
            </w:r>
            <w:r>
              <w:rPr>
                <w:sz w:val="24"/>
                <w:szCs w:val="24"/>
              </w:rPr>
              <w:t>s despesas previstas no objeto do TCC, vedada a sua aplicação em finalidade diversa, ainda que decorrentes de necessidade emergencial do PONTO DE CULTURA.</w:t>
            </w:r>
          </w:p>
          <w:p w14:paraId="02CC7E2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5.1.3 Os rendimentos de aplicações financeiras poderão ser aplicados para manter o poder de compra do</w:t>
            </w:r>
            <w:r>
              <w:rPr>
                <w:sz w:val="24"/>
                <w:szCs w:val="24"/>
              </w:rPr>
              <w:t>s recursos da parceria, bem como para ampliação ou criação de metas, durante a vigência do TCC, desde que contribuam para a execução do objeto, ou para incremento deste.</w:t>
            </w:r>
          </w:p>
          <w:p w14:paraId="7A0FC1B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5.1.4 O uso de rendimentos para as finalidades descritas no item 5.1.3 poderá ser real</w:t>
            </w:r>
            <w:r>
              <w:rPr>
                <w:sz w:val="24"/>
                <w:szCs w:val="24"/>
              </w:rPr>
              <w:t>izado sem autorização prévia da administração pública, desde que seja descrito no Relatório de Execução do Objeto, com motivação.</w:t>
            </w:r>
          </w:p>
          <w:p w14:paraId="4987110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5.1.5 O remanejamento de recurso no plano de trabalho poderá ocorrer desde que:</w:t>
            </w:r>
          </w:p>
          <w:p w14:paraId="5DA5F776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seja realizado durante a vigência do TCC;</w:t>
            </w:r>
          </w:p>
          <w:p w14:paraId="43135E9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tenha como finalidade o cumprimento do objeto pactuado;</w:t>
            </w:r>
          </w:p>
          <w:p w14:paraId="592139F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não altere o valor global do orçamento aprovado no TCC.</w:t>
            </w:r>
          </w:p>
          <w:p w14:paraId="6ABAD5B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5.1.6 Após a conclusão, rescisão ou extinção deste TCC, os saldos financeiros remanescentes, inclusive os provenientes das receitas o</w:t>
            </w:r>
            <w:r>
              <w:rPr>
                <w:sz w:val="24"/>
                <w:szCs w:val="24"/>
              </w:rPr>
              <w:t>btidas das aplicações financeiras realizadas, deverão ser devolvidos pelo PONTO DE CULTURA ao Ente Público, no prazo de trinta dias.</w:t>
            </w:r>
          </w:p>
        </w:tc>
      </w:tr>
    </w:tbl>
    <w:p w14:paraId="37FA6DF0" w14:textId="77777777" w:rsidR="007D7E2B" w:rsidRDefault="007D7E2B">
      <w:pPr>
        <w:ind w:left="0" w:hanging="2"/>
      </w:pPr>
    </w:p>
    <w:p w14:paraId="1D5862FC" w14:textId="77777777" w:rsidR="007D7E2B" w:rsidRDefault="007D7E2B">
      <w:pPr>
        <w:ind w:left="0" w:hanging="2"/>
      </w:pPr>
    </w:p>
    <w:tbl>
      <w:tblPr>
        <w:tblStyle w:val="aff3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66E515A5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DA2C5F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6. </w:t>
            </w:r>
            <w:r>
              <w:rPr>
                <w:b/>
                <w:color w:val="000000"/>
                <w:sz w:val="24"/>
                <w:szCs w:val="24"/>
              </w:rPr>
              <w:t>DO ACOMPANHAMENTO E AVALIAÇÃO</w:t>
            </w:r>
          </w:p>
        </w:tc>
      </w:tr>
      <w:tr w:rsidR="007D7E2B" w14:paraId="2B179FB2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7C52AC" w14:textId="00381E98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6.1. </w:t>
            </w:r>
            <w:r w:rsidR="00A46D12">
              <w:rPr>
                <w:sz w:val="24"/>
                <w:szCs w:val="24"/>
              </w:rPr>
              <w:t xml:space="preserve">A SECRETARIA DE CULTURA, ESPORTE E TURISMO </w:t>
            </w:r>
            <w:r>
              <w:rPr>
                <w:sz w:val="24"/>
                <w:szCs w:val="24"/>
              </w:rPr>
              <w:t xml:space="preserve"> realizará</w:t>
            </w:r>
            <w:r>
              <w:rPr>
                <w:sz w:val="24"/>
                <w:szCs w:val="24"/>
              </w:rPr>
              <w:t xml:space="preserve"> o acompanhamento e a avaliação da execução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deste TCC, periodicamente, durante a vigência da parceria, com vistas a promover o levantamento de dados para subsidiar a avaliação da prestação de contas podendo, para tanto:</w:t>
            </w:r>
          </w:p>
          <w:p w14:paraId="257C9AB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 exigir informações técnicas (in</w:t>
            </w:r>
            <w:r>
              <w:rPr>
                <w:sz w:val="24"/>
                <w:szCs w:val="24"/>
              </w:rPr>
              <w:t>cluindo relatório fotográfico), prestações de contas parciais e/ou final a qualquer momento;</w:t>
            </w:r>
          </w:p>
          <w:p w14:paraId="3848B05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exigir o registro, nos sistemas institucionais indicados pelo Ministério da Cultura, das atividades provenientes da execução do TCC;</w:t>
            </w:r>
          </w:p>
          <w:p w14:paraId="57A26448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usar os diversos ca</w:t>
            </w:r>
            <w:r>
              <w:rPr>
                <w:sz w:val="24"/>
                <w:szCs w:val="24"/>
              </w:rPr>
              <w:t>nais eletrônicos de comunicação e divulgação absorvendo informações sobre a execução do TCC e adotando providências necessárias, quando for o caso;</w:t>
            </w:r>
          </w:p>
          <w:p w14:paraId="0BEDF41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- fazer vistoria in loco (vistoria no local);</w:t>
            </w:r>
          </w:p>
          <w:p w14:paraId="42BA4A09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- utilizar apoio técnico de terceiros, delegar competênci</w:t>
            </w:r>
            <w:r>
              <w:rPr>
                <w:sz w:val="24"/>
                <w:szCs w:val="24"/>
              </w:rPr>
              <w:t>a ou firmar parcerias com órgãos ou entidades.</w:t>
            </w:r>
          </w:p>
          <w:p w14:paraId="7FB704C5" w14:textId="28DE34D3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6.2 </w:t>
            </w:r>
            <w:r w:rsidR="00A46D12">
              <w:rPr>
                <w:sz w:val="24"/>
                <w:szCs w:val="24"/>
              </w:rPr>
              <w:t xml:space="preserve"> A SECRETARIA MUNICIPAL DE CULTURA, ESPORTE E TURISMO DE ALAGOINHAS </w:t>
            </w:r>
            <w:r>
              <w:rPr>
                <w:sz w:val="24"/>
                <w:szCs w:val="24"/>
              </w:rPr>
              <w:t xml:space="preserve"> produzirá registros sobre suas atividades de acompanhamento e monitoramento, por meio de certidões, memórias de reunião, relatórios ou o</w:t>
            </w:r>
            <w:r>
              <w:rPr>
                <w:sz w:val="24"/>
                <w:szCs w:val="24"/>
              </w:rPr>
              <w:t>utros documentos técnicos, podendo propor à entidade cultural a reorientação das ações ou a realização de ajustes para aprimorar a execução do objeto da parceria.</w:t>
            </w:r>
          </w:p>
          <w:p w14:paraId="2B3F010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 Os TCCs estarão também sujeitos aos mecanismos de controle social previstos na legislação</w:t>
            </w:r>
            <w:r>
              <w:rPr>
                <w:sz w:val="24"/>
                <w:szCs w:val="24"/>
              </w:rPr>
              <w:t xml:space="preserve"> e ao acompanhamento por comissões e conselhos de políticas públicas da área cultural.</w:t>
            </w:r>
          </w:p>
        </w:tc>
      </w:tr>
    </w:tbl>
    <w:p w14:paraId="445638F2" w14:textId="77777777" w:rsidR="007D7E2B" w:rsidRDefault="007D7E2B">
      <w:pPr>
        <w:ind w:left="0" w:hanging="2"/>
      </w:pPr>
    </w:p>
    <w:tbl>
      <w:tblPr>
        <w:tblStyle w:val="aff4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5B4E1652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D3681E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7. </w:t>
            </w:r>
            <w:r>
              <w:rPr>
                <w:b/>
                <w:color w:val="000000"/>
                <w:sz w:val="24"/>
                <w:szCs w:val="24"/>
              </w:rPr>
              <w:t>DA PRESTAÇÃO DE CONTAS</w:t>
            </w:r>
          </w:p>
        </w:tc>
      </w:tr>
      <w:tr w:rsidR="007D7E2B" w14:paraId="7EA2D982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BB364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7.1 A prestação de contas será apresentada por meio do </w:t>
            </w:r>
            <w:r>
              <w:rPr>
                <w:sz w:val="24"/>
                <w:szCs w:val="24"/>
                <w:u w:val="single"/>
              </w:rPr>
              <w:t>Relatório de Execução do Objeto</w:t>
            </w:r>
            <w:r>
              <w:rPr>
                <w:sz w:val="24"/>
                <w:szCs w:val="24"/>
              </w:rPr>
              <w:t>,,</w:t>
            </w:r>
            <w:r>
              <w:rPr>
                <w:sz w:val="24"/>
                <w:szCs w:val="24"/>
              </w:rPr>
              <w:t xml:space="preserve"> no prazo de noventa dias após o fim da vigência do TCC, contendo:</w:t>
            </w:r>
          </w:p>
          <w:p w14:paraId="721F4B77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relato das atividades realizadas para o cumprimento do objeto, que deve tratar sobre o alcance dos objetivos, sobre ações eventualmente realizadas para promover a acessibilidade e os de</w:t>
            </w:r>
            <w:r>
              <w:rPr>
                <w:sz w:val="24"/>
                <w:szCs w:val="24"/>
              </w:rPr>
              <w:t>sdobramentos do projeto, tendo por referência as informações constantes no plano de trabalho;</w:t>
            </w:r>
          </w:p>
          <w:p w14:paraId="359EFB1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comparativo de metas propostas com os resultados alcançados, a partir das informações constantes do plano de trabalho, podendo a comprovação sobre os produto</w:t>
            </w:r>
            <w:r>
              <w:rPr>
                <w:sz w:val="24"/>
                <w:szCs w:val="24"/>
              </w:rPr>
              <w:t>s e serviços relativos às metas se dar pela apresentação de fotos, listas de presença, vídeos, entre outros;</w:t>
            </w:r>
          </w:p>
          <w:p w14:paraId="2F1423C9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material que comprove a execução de cada item de despesa e a consecução de cada uma das metas (fotos, listas de presença, vídeos, entre outro</w:t>
            </w:r>
            <w:r>
              <w:rPr>
                <w:sz w:val="24"/>
                <w:szCs w:val="24"/>
              </w:rPr>
              <w:t>s) descrito no Plano de Trabalho.</w:t>
            </w:r>
          </w:p>
          <w:p w14:paraId="32AD9BD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 Os documentos originais de comprovação do cumprimento do objeto deverão ser guardados pelo PONTO DE CULTURA pelo prazo de cinco anos após a entrega da prestação de contas.</w:t>
            </w:r>
          </w:p>
          <w:p w14:paraId="4940DF20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 O prazo de apresentação do Relatório de Ex</w:t>
            </w:r>
            <w:r>
              <w:rPr>
                <w:sz w:val="24"/>
                <w:szCs w:val="24"/>
              </w:rPr>
              <w:t>ecução do Objeto poderá ser prorrogado por até trinta dias, mediante solicitação fundamentada do PONTO DE CULTURA.</w:t>
            </w:r>
          </w:p>
          <w:p w14:paraId="58BC9BC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7.4 Caso o Ente Público verifique que houve inadequação na execução do objeto, o PONTO DE CULTURA será notificado para apresentar Relatório d</w:t>
            </w:r>
            <w:r>
              <w:rPr>
                <w:sz w:val="24"/>
                <w:szCs w:val="24"/>
              </w:rPr>
              <w:t>e Execução Financeiro, no prazo de trinta dias, contendo:</w:t>
            </w:r>
          </w:p>
          <w:p w14:paraId="56B1E4C2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I- - relação de pagamentos, com indicação dos beneficiários desses pagamentos e identificação do item de despesa e meta relacionados a cada pagamento;</w:t>
            </w:r>
          </w:p>
          <w:p w14:paraId="01A1C5C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extrato bancário da conta do TCC, incluind</w:t>
            </w:r>
            <w:r>
              <w:rPr>
                <w:sz w:val="24"/>
                <w:szCs w:val="24"/>
              </w:rPr>
              <w:t>o toda a movimentação desde a abertura até a última movimentação, e conciliação bancária; e</w:t>
            </w:r>
          </w:p>
          <w:p w14:paraId="362D8BA8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comprovante de recolhimento do saldo remanescente de recursos, quando houver.</w:t>
            </w:r>
          </w:p>
          <w:p w14:paraId="0C538B7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 O Ente Público considerará que houve inadequação na execução do objeto quand</w:t>
            </w:r>
            <w:r>
              <w:rPr>
                <w:sz w:val="24"/>
                <w:szCs w:val="24"/>
              </w:rPr>
              <w:t>o configurada uma das seguintes hipóteses:</w:t>
            </w:r>
          </w:p>
          <w:p w14:paraId="7C1B2F72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I- - quando for identificado o descumprimento injustificado do alcance das metas; ou</w:t>
            </w:r>
          </w:p>
          <w:p w14:paraId="39F81DF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quando for aceita denúncia de irregularidade, mediante juízo de admissibilidade realizado pelo Ente Público.</w:t>
            </w:r>
          </w:p>
        </w:tc>
      </w:tr>
    </w:tbl>
    <w:p w14:paraId="487F3A53" w14:textId="77777777" w:rsidR="007D7E2B" w:rsidRDefault="007D7E2B">
      <w:pPr>
        <w:ind w:left="0" w:hanging="2"/>
      </w:pPr>
    </w:p>
    <w:tbl>
      <w:tblPr>
        <w:tblStyle w:val="aff5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5519E37F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ED63C8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 </w:t>
            </w:r>
            <w:r>
              <w:rPr>
                <w:b/>
                <w:color w:val="000000"/>
                <w:sz w:val="24"/>
                <w:szCs w:val="24"/>
              </w:rPr>
              <w:t xml:space="preserve">DOS BENS </w:t>
            </w:r>
            <w:r>
              <w:rPr>
                <w:b/>
                <w:color w:val="000000"/>
                <w:sz w:val="24"/>
                <w:szCs w:val="24"/>
              </w:rPr>
              <w:t>REMANESCENTES</w:t>
            </w:r>
          </w:p>
        </w:tc>
      </w:tr>
      <w:tr w:rsidR="007D7E2B" w14:paraId="7FE3ED3D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3951EE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8.1 Os bens patrimoniais adquiridos, produzidos, transformados ou construídos com recursos deste TCC são da titularidade da Entidade Cultural celebrante e ficarão afetados ao objeto do presente TCC durante o prazo de sua duração, sendo </w:t>
            </w:r>
            <w:r>
              <w:rPr>
                <w:sz w:val="24"/>
                <w:szCs w:val="24"/>
              </w:rPr>
              <w:t>considerados bens remanescentes ao seu término, dispensada a celebração de instrumento específico para esta finalidade.</w:t>
            </w:r>
          </w:p>
          <w:p w14:paraId="7B090CA5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 Quando da extinção da parceria, os bens remanescentes permanecerão na propriedade da Entidade Cultural, na medida em que os bens sej</w:t>
            </w:r>
            <w:r>
              <w:rPr>
                <w:sz w:val="24"/>
                <w:szCs w:val="24"/>
              </w:rPr>
              <w:t>am úteis à continuidade da execução de ações de interesse social pela organização.</w:t>
            </w:r>
          </w:p>
          <w:p w14:paraId="2537197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 Caso a prestação de contas final seja rejeitada, a titularidade dos bens remanescentes permanecerá com a Entidade Cultural, observados os seguintes procedimentos:</w:t>
            </w:r>
          </w:p>
          <w:p w14:paraId="4DD7D57F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 n</w:t>
            </w:r>
            <w:r>
              <w:rPr>
                <w:sz w:val="24"/>
                <w:szCs w:val="24"/>
              </w:rPr>
              <w:t>ão será exigido ressarcimento do valor relativo ao bem adquirido quando a motivação da rejeição não estiver relacionada ao seu uso ou aquisição; ou</w:t>
            </w:r>
          </w:p>
          <w:p w14:paraId="6C2653F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o valor pelo qual o bem remanescente foi adquirido deverá ser computado no cálculo do dano ao erário a </w:t>
            </w:r>
            <w:r>
              <w:rPr>
                <w:sz w:val="24"/>
                <w:szCs w:val="24"/>
              </w:rPr>
              <w:t xml:space="preserve">ser ressarcido, quando a motivação da rejeição estiver relacionada ao seu uso ou aquisição. </w:t>
            </w:r>
          </w:p>
          <w:p w14:paraId="1570C52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 Na hipótese de dissolução da Entidade Cultural durante a vigência do TCC, o valor pelo qual os bens remanescentes foram adquiridos deverá ser computado no cálc</w:t>
            </w:r>
            <w:r>
              <w:rPr>
                <w:sz w:val="24"/>
                <w:szCs w:val="24"/>
              </w:rPr>
              <w:t>ulo do valor a ser ressarcido.</w:t>
            </w:r>
          </w:p>
          <w:p w14:paraId="22479A6C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 A Entidade Cultural poderá realizar doação dos bens remanescentes a terceiros, inclusive beneficiários da política pública objeto da parceria, desde que demonstrada sua utilidade para realização ou continuidade de ações d</w:t>
            </w:r>
            <w:r>
              <w:rPr>
                <w:sz w:val="24"/>
                <w:szCs w:val="24"/>
              </w:rPr>
              <w:t>e interesse social.</w:t>
            </w:r>
          </w:p>
          <w:p w14:paraId="2FFBD862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8.6 Os bens remanescentes poderão ter sua propriedade revertida para o Ente Público, a critério deste, se ao término da parceria ficar constatado que a Entidade Cultural não terá condições de dar continuidade à execução de ações de inte</w:t>
            </w:r>
            <w:r>
              <w:rPr>
                <w:sz w:val="24"/>
                <w:szCs w:val="24"/>
              </w:rPr>
              <w:t>resse social e a transferência da propriedade for necessária para assegurar a continuidade do objeto pactuado, seja por meio da celebração de nova parceria, seja pela execução direta do objeto pela Administração Pública Federal.</w:t>
            </w:r>
          </w:p>
          <w:p w14:paraId="6BA8F573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 A destinação dos bens r</w:t>
            </w:r>
            <w:r>
              <w:rPr>
                <w:sz w:val="24"/>
                <w:szCs w:val="24"/>
              </w:rPr>
              <w:t>emanescentes poderá ser alterada por meio da celebração de Termo Aditivo ao TCC, após solicitação fundamentada de uma das partes.</w:t>
            </w:r>
          </w:p>
          <w:p w14:paraId="4BDD326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8.8 No caso de término da execução do TCC antes da manifestação sobre eventual solicitação de uma das partes de alteração da d</w:t>
            </w:r>
            <w:r>
              <w:rPr>
                <w:sz w:val="24"/>
                <w:szCs w:val="24"/>
              </w:rPr>
              <w:t>estinação dos bens remanescentes, a custódia dos bens permanecerá sob a responsabilidade da Entidade Cultural até a decisão do pedido.</w:t>
            </w:r>
          </w:p>
        </w:tc>
      </w:tr>
    </w:tbl>
    <w:p w14:paraId="66112A1B" w14:textId="77777777" w:rsidR="007D7E2B" w:rsidRDefault="007D7E2B">
      <w:pPr>
        <w:ind w:left="0" w:hanging="2"/>
      </w:pPr>
    </w:p>
    <w:tbl>
      <w:tblPr>
        <w:tblStyle w:val="aff6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1863D5BD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92BD8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9. </w:t>
            </w:r>
            <w:r>
              <w:rPr>
                <w:b/>
                <w:color w:val="000000"/>
                <w:sz w:val="24"/>
                <w:szCs w:val="24"/>
              </w:rPr>
              <w:t>DA PROPRIEDADE INTELECTUAL</w:t>
            </w:r>
          </w:p>
        </w:tc>
      </w:tr>
      <w:tr w:rsidR="007D7E2B" w14:paraId="3BA84A2F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0B6616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9.1 Caso as atividades realizadas pela ENTIDADE CULTURAL com recursos públicos </w:t>
            </w:r>
            <w:r>
              <w:rPr>
                <w:sz w:val="24"/>
                <w:szCs w:val="24"/>
              </w:rPr>
              <w:t>provenientes do Termo de Compromisso Cultural deem origem a bens passíveis de proteção pelo direito de propriedade intelectual, a exemplo de invenções, modelos de utilidade, desenhos industriais, obras intelectuais, cultivares, direitos autorais, programas</w:t>
            </w:r>
            <w:r>
              <w:rPr>
                <w:sz w:val="24"/>
                <w:szCs w:val="24"/>
              </w:rPr>
              <w:t xml:space="preserve"> de computador e outros tipos de criação, a ENTIDADE CULTURAL terá a titularidade da propriedade intelectual e a participação nos ganhos econômicos resultantes da exploração dos respectivos bens, os quais ficarão gravados com cláusula de inalienabilidade d</w:t>
            </w:r>
            <w:r>
              <w:rPr>
                <w:sz w:val="24"/>
                <w:szCs w:val="24"/>
              </w:rPr>
              <w:t>urante a vigência do Termo de Compromisso Cultural.</w:t>
            </w:r>
          </w:p>
          <w:p w14:paraId="55583D32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9.2 - A ORGANIZAÇÃO DA SOCIEDADE CIVIL declara, mediante a assinatura deste instrumento, que se responsabiliza integralmente por providenciar desde já, independente de solicitação da ADMINISTRAÇÃO PÚBLICA</w:t>
            </w:r>
            <w:r>
              <w:rPr>
                <w:sz w:val="24"/>
                <w:szCs w:val="24"/>
              </w:rPr>
              <w:t>, todas as autorizações necessárias para que a ADMINISTRAÇÃO PÚBLICA, sem ônus, durante o prazo de proteção dos direitos incidentes, em território nacional e estrangeiro, em caráter não exclusivo, utilize para fins de divulgação da Política Nacional de Cul</w:t>
            </w:r>
            <w:r>
              <w:rPr>
                <w:sz w:val="24"/>
                <w:szCs w:val="24"/>
              </w:rPr>
              <w:t>tura Viva, os bens submetidos a regime de propriedade intelectual que eventualmente decorrerem da execução deste TCC, da seguinte forma:</w:t>
            </w:r>
          </w:p>
          <w:p w14:paraId="353093E3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9.2.1 - Quanto aos direitos de que trata a Lei Nacional nº 9.279/1996, pelo uso de produto objeto de patente, processo </w:t>
            </w:r>
            <w:r>
              <w:rPr>
                <w:sz w:val="24"/>
                <w:szCs w:val="24"/>
              </w:rPr>
              <w:t>ou produto obtido diretamente por processo patenteado, desenho industrial, indicação geográfica e marcas;</w:t>
            </w:r>
          </w:p>
          <w:p w14:paraId="23A63472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9.2.2 - Quanto aos direitos de que trata a Lei Nacional nº 9.610/1998, pelas seguintes modalidades:</w:t>
            </w:r>
          </w:p>
          <w:p w14:paraId="3A36D01B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- a reprodução parcial ou integral, para fins de</w:t>
            </w:r>
            <w:r>
              <w:rPr>
                <w:sz w:val="24"/>
                <w:szCs w:val="24"/>
              </w:rPr>
              <w:t xml:space="preserve"> divulgação;</w:t>
            </w:r>
          </w:p>
          <w:p w14:paraId="63DA7BB7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- a tradução para qualquer idioma;</w:t>
            </w:r>
          </w:p>
          <w:p w14:paraId="4FC90880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a inclusão em fonograma ou produção audiovisual;</w:t>
            </w:r>
          </w:p>
          <w:p w14:paraId="6E57FB5A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- a inclusão em base de dados, o armazenamento em computador, a microfilmagem e as demais formas de arquivamento do gênero.</w:t>
            </w:r>
          </w:p>
          <w:p w14:paraId="4052984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9.2 Quando da extinção </w:t>
            </w:r>
            <w:r>
              <w:rPr>
                <w:sz w:val="24"/>
                <w:szCs w:val="24"/>
              </w:rPr>
              <w:t xml:space="preserve">do TCC, os bens remanescentes passíveis de proteção pelo direito de propriedade intelectual poderão ter sua propriedade revertida para o órgão ou entidade pública federal, a critério da Administração Pública, quando a ENTIDADE CULTURAL não tiver condições </w:t>
            </w:r>
            <w:r>
              <w:rPr>
                <w:sz w:val="24"/>
                <w:szCs w:val="24"/>
              </w:rPr>
              <w:t>de dar continuidade à execução de ações de interesse social e a transferência da propriedade for necessária para assegurar a continuidade do objeto pactuado, seja por meio da celebração de nova parceria, seja pela execução direta do objeto pela Administraç</w:t>
            </w:r>
            <w:r>
              <w:rPr>
                <w:sz w:val="24"/>
                <w:szCs w:val="24"/>
              </w:rPr>
              <w:t>ão Pública.</w:t>
            </w:r>
          </w:p>
        </w:tc>
      </w:tr>
    </w:tbl>
    <w:p w14:paraId="4232D2FA" w14:textId="77777777" w:rsidR="007D7E2B" w:rsidRDefault="007D7E2B">
      <w:pPr>
        <w:ind w:left="0" w:hanging="2"/>
      </w:pPr>
    </w:p>
    <w:tbl>
      <w:tblPr>
        <w:tblStyle w:val="aff7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216C1500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D49BDC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10. </w:t>
            </w:r>
            <w:r>
              <w:rPr>
                <w:b/>
                <w:color w:val="000000"/>
                <w:sz w:val="24"/>
                <w:szCs w:val="24"/>
              </w:rPr>
              <w:t>DO PRAZO DE VIGÊNCIA</w:t>
            </w:r>
          </w:p>
        </w:tc>
      </w:tr>
      <w:tr w:rsidR="007D7E2B" w14:paraId="1C056DF8" w14:textId="77777777">
        <w:trPr>
          <w:trHeight w:val="984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6E5ED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10.1 O prazo de vigência deste TCC </w:t>
            </w:r>
            <w:r>
              <w:rPr>
                <w:color w:val="FF0000"/>
                <w:sz w:val="24"/>
                <w:szCs w:val="24"/>
              </w:rPr>
              <w:t>será de 12 (doze) meses</w:t>
            </w:r>
            <w:r>
              <w:rPr>
                <w:sz w:val="24"/>
                <w:szCs w:val="24"/>
              </w:rPr>
              <w:t xml:space="preserve">, contados a partir da data de sua assinatura, podendo ser prorrogado </w:t>
            </w:r>
            <w:r>
              <w:rPr>
                <w:color w:val="FF0000"/>
                <w:sz w:val="24"/>
                <w:szCs w:val="24"/>
              </w:rPr>
              <w:t>pelo dobro do tempo pactuado</w:t>
            </w:r>
            <w:r>
              <w:rPr>
                <w:sz w:val="24"/>
                <w:szCs w:val="24"/>
              </w:rPr>
              <w:t xml:space="preserve">, mediante acordo entre as partes, excetuadas as </w:t>
            </w:r>
            <w:r>
              <w:rPr>
                <w:sz w:val="24"/>
                <w:szCs w:val="24"/>
              </w:rPr>
              <w:t>prorrogações de ofício por atraso na liberação dos recursos.</w:t>
            </w:r>
          </w:p>
          <w:p w14:paraId="07384C26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 A vigência do TCC poderá ser alterada mediante solicitação da entidade cultural, a ser apresentada à administração pública em, no mínimo, trinta dias antes do término de sua vigência.</w:t>
            </w:r>
          </w:p>
          <w:p w14:paraId="15CE0794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 A</w:t>
            </w:r>
            <w:r>
              <w:rPr>
                <w:sz w:val="24"/>
                <w:szCs w:val="24"/>
              </w:rPr>
              <w:t xml:space="preserve"> prorrogação de ofício da vigência do instrumento deve ser feita pela administração pública, antes do seu término, quando ela der causa a atraso na liberação dos recursos, limitada ao exato período do atraso verificado.</w:t>
            </w:r>
          </w:p>
        </w:tc>
      </w:tr>
    </w:tbl>
    <w:p w14:paraId="17587539" w14:textId="77777777" w:rsidR="007D7E2B" w:rsidRDefault="007D7E2B">
      <w:pPr>
        <w:ind w:left="0" w:hanging="2"/>
      </w:pPr>
    </w:p>
    <w:tbl>
      <w:tblPr>
        <w:tblStyle w:val="aff8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09CDFD7A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95D30A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>
              <w:rPr>
                <w:b/>
                <w:color w:val="000000"/>
                <w:sz w:val="24"/>
                <w:szCs w:val="24"/>
              </w:rPr>
              <w:t>DA RESCISÃO</w:t>
            </w:r>
          </w:p>
        </w:tc>
      </w:tr>
      <w:tr w:rsidR="007D7E2B" w14:paraId="74AECCC3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1F8CD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11.1 É facultado </w:t>
            </w:r>
            <w:r>
              <w:rPr>
                <w:sz w:val="24"/>
                <w:szCs w:val="24"/>
              </w:rPr>
              <w:t>ao Ente Público e à entidade cultural rescindirem este TCC, a qualquer tempo, com as respectivas condições, sanções e delimitações claras de responsabilidades, além da estipulação de prazo mínimo de antecedência para a publicidade dessa intenção, que não p</w:t>
            </w:r>
            <w:r>
              <w:rPr>
                <w:sz w:val="24"/>
                <w:szCs w:val="24"/>
              </w:rPr>
              <w:t>oderá ser inferior a 60 (sessenta) dias.</w:t>
            </w:r>
          </w:p>
          <w:p w14:paraId="1B32B541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11.2 O Ente Público deverá rescindir este TCC caso seja cancelada a certificação simplificada do Pontão ou Pontão de Cultura, respeitados os atos jurídicos perfeitos, na forma do art. 11 da Instrução Normativa/MinC </w:t>
            </w:r>
            <w:r>
              <w:rPr>
                <w:sz w:val="24"/>
                <w:szCs w:val="24"/>
              </w:rPr>
              <w:t>nº 8/2016.</w:t>
            </w:r>
          </w:p>
          <w:p w14:paraId="03603DDB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 A Entidade Cultural deverá devolver ao Ente Público os saldos financeiros remanescentes, inclusive os provenientes das receitas obtidas das aplicações financeiras realizadas, no prazo de trinta dias após a conclusão, rescisão ou extinção da</w:t>
            </w:r>
            <w:r>
              <w:rPr>
                <w:sz w:val="24"/>
                <w:szCs w:val="24"/>
              </w:rPr>
              <w:t xml:space="preserve"> parceria, sob pena de adoção de medidas cabíveis para ressarcimento ao erário.</w:t>
            </w:r>
          </w:p>
          <w:p w14:paraId="1E31B9B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 Havendo rescisão, a entidade cultural fica obrigada a prestar contas de tudo que fora executado até a data da rescisão, observado o prazo e regras da Seção 7.</w:t>
            </w:r>
          </w:p>
        </w:tc>
      </w:tr>
    </w:tbl>
    <w:p w14:paraId="70F25DE2" w14:textId="77777777" w:rsidR="007D7E2B" w:rsidRDefault="007D7E2B">
      <w:pPr>
        <w:ind w:left="0" w:hanging="2"/>
      </w:pPr>
    </w:p>
    <w:tbl>
      <w:tblPr>
        <w:tblStyle w:val="aff9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6B8F208D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8897C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12.. </w:t>
            </w:r>
            <w:r>
              <w:rPr>
                <w:b/>
                <w:color w:val="000000"/>
                <w:sz w:val="24"/>
                <w:szCs w:val="24"/>
              </w:rPr>
              <w:t xml:space="preserve">DA </w:t>
            </w:r>
            <w:r>
              <w:rPr>
                <w:b/>
                <w:color w:val="000000"/>
                <w:sz w:val="24"/>
                <w:szCs w:val="24"/>
              </w:rPr>
              <w:t>PUBLICAÇÃO</w:t>
            </w:r>
          </w:p>
        </w:tc>
      </w:tr>
      <w:tr w:rsidR="007D7E2B" w14:paraId="04F92951" w14:textId="77777777">
        <w:trPr>
          <w:trHeight w:val="851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E0BE80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Ente Público publicará extrato deste TCC no meio oficial de publicidade da administração pública, após a assinatura, para que se inicie a produção de seus efeitos.</w:t>
            </w:r>
          </w:p>
        </w:tc>
      </w:tr>
    </w:tbl>
    <w:p w14:paraId="65B2C2CB" w14:textId="77777777" w:rsidR="007D7E2B" w:rsidRDefault="007D7E2B">
      <w:pPr>
        <w:ind w:left="0" w:hanging="2"/>
      </w:pPr>
    </w:p>
    <w:tbl>
      <w:tblPr>
        <w:tblStyle w:val="affa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7D7E2B" w14:paraId="798AAE2F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E7D2B2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13. </w:t>
            </w:r>
            <w:r>
              <w:rPr>
                <w:b/>
                <w:color w:val="000000"/>
                <w:sz w:val="24"/>
                <w:szCs w:val="24"/>
              </w:rPr>
              <w:t>DO FORO</w:t>
            </w:r>
          </w:p>
        </w:tc>
      </w:tr>
      <w:tr w:rsidR="007D7E2B" w14:paraId="0B070D3D" w14:textId="77777777">
        <w:trPr>
          <w:trHeight w:val="851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931C4" w14:textId="1D7C7F2D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 partes comprometem-se a submeter eventuais controvérsias decorrentes do presente ajuste à prévia tentativa de solução administrativa. As controvérsias que não possam ser resolvidas administrativamente serão submetidas ao foro da Justiça </w:t>
            </w:r>
            <w:r w:rsidR="00A46D12">
              <w:rPr>
                <w:color w:val="FF0000"/>
                <w:sz w:val="24"/>
                <w:szCs w:val="24"/>
              </w:rPr>
              <w:t>de Alagoinhas (BA).</w:t>
            </w:r>
          </w:p>
        </w:tc>
      </w:tr>
    </w:tbl>
    <w:p w14:paraId="28939941" w14:textId="77777777" w:rsidR="007D7E2B" w:rsidRDefault="007D7E2B">
      <w:pPr>
        <w:ind w:left="0" w:hanging="2"/>
      </w:pPr>
    </w:p>
    <w:tbl>
      <w:tblPr>
        <w:tblStyle w:val="affb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12"/>
        <w:gridCol w:w="5160"/>
      </w:tblGrid>
      <w:tr w:rsidR="007D7E2B" w14:paraId="45B80548" w14:textId="77777777">
        <w:trPr>
          <w:trHeight w:val="525"/>
        </w:trPr>
        <w:tc>
          <w:tcPr>
            <w:tcW w:w="997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B2004" w14:textId="77777777" w:rsidR="007D7E2B" w:rsidRDefault="00BB1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14. </w:t>
            </w:r>
            <w:r>
              <w:rPr>
                <w:b/>
                <w:color w:val="000000"/>
                <w:sz w:val="24"/>
                <w:szCs w:val="24"/>
              </w:rPr>
              <w:t>DATA E ASSINATURAS</w:t>
            </w:r>
          </w:p>
        </w:tc>
      </w:tr>
      <w:tr w:rsidR="007D7E2B" w14:paraId="481FB835" w14:textId="77777777">
        <w:trPr>
          <w:trHeight w:val="851"/>
        </w:trPr>
        <w:tc>
          <w:tcPr>
            <w:tcW w:w="9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AF6E1A" w14:textId="77777777" w:rsidR="007D7E2B" w:rsidRDefault="00BB188D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E, por assim estarem plenamente de acordo, as partes obrigam-se ao total cumprimento dos termos do presente instrumento.</w:t>
            </w:r>
          </w:p>
        </w:tc>
      </w:tr>
      <w:tr w:rsidR="007D7E2B" w14:paraId="5261CB44" w14:textId="77777777">
        <w:trPr>
          <w:trHeight w:val="851"/>
        </w:trPr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EA9E27" w14:textId="77777777" w:rsidR="007D7E2B" w:rsidRDefault="00BB188D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assinado eletronicamente</w:t>
            </w:r>
            <w:r>
              <w:rPr>
                <w:sz w:val="24"/>
                <w:szCs w:val="24"/>
              </w:rPr>
              <w:t>)</w:t>
            </w:r>
          </w:p>
          <w:p w14:paraId="5AC1E9ED" w14:textId="77777777" w:rsidR="007D7E2B" w:rsidRDefault="00BB188D">
            <w:pPr>
              <w:spacing w:before="120" w:after="120" w:line="240" w:lineRule="auto"/>
              <w:ind w:left="0" w:hanging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</w:t>
            </w:r>
          </w:p>
          <w:p w14:paraId="5C3805EF" w14:textId="77777777" w:rsidR="007D7E2B" w:rsidRDefault="00BB188D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</w:t>
            </w:r>
          </w:p>
          <w:p w14:paraId="6C487DAF" w14:textId="77777777" w:rsidR="007D7E2B" w:rsidRDefault="00BB188D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Representante legal da entidade cultural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A96F0" w14:textId="77777777" w:rsidR="007D7E2B" w:rsidRDefault="00BB188D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(</w:t>
            </w:r>
            <w:r>
              <w:rPr>
                <w:i/>
                <w:sz w:val="24"/>
                <w:szCs w:val="24"/>
              </w:rPr>
              <w:t xml:space="preserve">assinado </w:t>
            </w:r>
            <w:r>
              <w:rPr>
                <w:i/>
                <w:sz w:val="24"/>
                <w:szCs w:val="24"/>
              </w:rPr>
              <w:t>eletronicamente</w:t>
            </w:r>
            <w:r>
              <w:rPr>
                <w:sz w:val="24"/>
                <w:szCs w:val="24"/>
              </w:rPr>
              <w:t>)</w:t>
            </w:r>
          </w:p>
          <w:p w14:paraId="154D527A" w14:textId="77777777" w:rsidR="007D7E2B" w:rsidRDefault="00BB188D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Representante legal do órgão ou entidade pública</w:t>
            </w:r>
          </w:p>
        </w:tc>
      </w:tr>
    </w:tbl>
    <w:p w14:paraId="0CBFCB58" w14:textId="77777777" w:rsidR="007D7E2B" w:rsidRDefault="007D7E2B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</w:p>
    <w:sectPr w:rsidR="007D7E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108A4D" w14:textId="77777777" w:rsidR="00BB188D" w:rsidRDefault="00BB188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3A17060" w14:textId="77777777" w:rsidR="00BB188D" w:rsidRDefault="00BB188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9346A" w14:textId="77777777" w:rsidR="007D7E2B" w:rsidRDefault="007D7E2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E3FC8" w14:textId="3EE4AA3D" w:rsidR="007D7E2B" w:rsidRDefault="00BB188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right"/>
      <w:rPr>
        <w:color w:val="000000"/>
        <w:sz w:val="16"/>
        <w:szCs w:val="16"/>
      </w:rPr>
    </w:pPr>
    <w:r>
      <w:rPr>
        <w:color w:val="000000"/>
        <w:sz w:val="16"/>
        <w:szCs w:val="16"/>
      </w:rPr>
      <w:t xml:space="preserve">Página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b/>
        <w:color w:val="000000"/>
        <w:sz w:val="16"/>
        <w:szCs w:val="16"/>
      </w:rPr>
      <w:fldChar w:fldCharType="separate"/>
    </w:r>
    <w:r w:rsidR="002F3A34">
      <w:rPr>
        <w:b/>
        <w:noProof/>
        <w:color w:val="000000"/>
        <w:sz w:val="16"/>
        <w:szCs w:val="16"/>
      </w:rPr>
      <w:t>1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de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NUMPAGES</w:instrText>
    </w:r>
    <w:r>
      <w:rPr>
        <w:b/>
        <w:color w:val="000000"/>
        <w:sz w:val="16"/>
        <w:szCs w:val="16"/>
      </w:rPr>
      <w:fldChar w:fldCharType="separate"/>
    </w:r>
    <w:r w:rsidR="002F3A34">
      <w:rPr>
        <w:b/>
        <w:noProof/>
        <w:color w:val="000000"/>
        <w:sz w:val="16"/>
        <w:szCs w:val="16"/>
      </w:rPr>
      <w:t>11</w:t>
    </w:r>
    <w:r>
      <w:rPr>
        <w:b/>
        <w:color w:val="000000"/>
        <w:sz w:val="16"/>
        <w:szCs w:val="16"/>
      </w:rPr>
      <w:fldChar w:fldCharType="end"/>
    </w:r>
    <w:r>
      <w:rPr>
        <w:noProof/>
        <w:lang w:eastAsia="pt-BR"/>
      </w:rPr>
      <w:drawing>
        <wp:anchor distT="114300" distB="114300" distL="114300" distR="114300" simplePos="0" relativeHeight="251660288" behindDoc="1" locked="0" layoutInCell="1" hidden="0" allowOverlap="1" wp14:anchorId="58B5CFDB" wp14:editId="31B59102">
          <wp:simplePos x="0" y="0"/>
          <wp:positionH relativeFrom="column">
            <wp:posOffset>4524375</wp:posOffset>
          </wp:positionH>
          <wp:positionV relativeFrom="paragraph">
            <wp:posOffset>48812</wp:posOffset>
          </wp:positionV>
          <wp:extent cx="1991042" cy="690228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991042" cy="6902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114300" distB="114300" distL="114300" distR="114300" simplePos="0" relativeHeight="251661312" behindDoc="1" locked="0" layoutInCell="1" hidden="0" allowOverlap="1" wp14:anchorId="1750D692" wp14:editId="13445152">
          <wp:simplePos x="0" y="0"/>
          <wp:positionH relativeFrom="column">
            <wp:posOffset>-304799</wp:posOffset>
          </wp:positionH>
          <wp:positionV relativeFrom="paragraph">
            <wp:posOffset>142875</wp:posOffset>
          </wp:positionV>
          <wp:extent cx="1038225" cy="44648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EB1CBC0" w14:textId="6563B3DC" w:rsidR="007D7E2B" w:rsidRDefault="000C23D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6286BCA1" wp14:editId="448292E9">
          <wp:simplePos x="0" y="0"/>
          <wp:positionH relativeFrom="column">
            <wp:posOffset>1814195</wp:posOffset>
          </wp:positionH>
          <wp:positionV relativeFrom="paragraph">
            <wp:posOffset>31115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69710D" w14:textId="77777777" w:rsidR="007D7E2B" w:rsidRDefault="007D7E2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091F73" w14:textId="77777777" w:rsidR="00BB188D" w:rsidRDefault="00BB188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5AA092E" w14:textId="77777777" w:rsidR="00BB188D" w:rsidRDefault="00BB188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F43E25" w14:textId="77777777" w:rsidR="007D7E2B" w:rsidRDefault="007D7E2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BC0A67" w14:textId="77777777" w:rsidR="007D7E2B" w:rsidRDefault="00BB188D">
    <w:pPr>
      <w:tabs>
        <w:tab w:val="center" w:pos="4252"/>
        <w:tab w:val="right" w:pos="8504"/>
      </w:tabs>
      <w:spacing w:after="0" w:line="240" w:lineRule="auto"/>
      <w:ind w:left="0" w:hanging="2"/>
      <w:rPr>
        <w:rFonts w:ascii="Arial" w:eastAsia="Arial" w:hAnsi="Arial" w:cs="Arial"/>
      </w:rPr>
    </w:pPr>
    <w:r>
      <w:rPr>
        <w:noProof/>
        <w:lang w:eastAsia="pt-BR"/>
      </w:rPr>
      <w:drawing>
        <wp:anchor distT="114300" distB="114300" distL="114300" distR="114300" simplePos="0" relativeHeight="251658240" behindDoc="0" locked="0" layoutInCell="1" hidden="0" allowOverlap="1" wp14:anchorId="64823030" wp14:editId="717F829E">
          <wp:simplePos x="0" y="0"/>
          <wp:positionH relativeFrom="column">
            <wp:posOffset>-742949</wp:posOffset>
          </wp:positionH>
          <wp:positionV relativeFrom="paragraph">
            <wp:posOffset>-245109</wp:posOffset>
          </wp:positionV>
          <wp:extent cx="1569130" cy="890588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BE7F884" w14:textId="77777777" w:rsidR="007D7E2B" w:rsidRDefault="007D7E2B">
    <w:pPr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CCAA1D" w14:textId="77777777" w:rsidR="007D7E2B" w:rsidRDefault="007D7E2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E2B"/>
    <w:rsid w:val="000C084F"/>
    <w:rsid w:val="000C23D8"/>
    <w:rsid w:val="00204C50"/>
    <w:rsid w:val="002F3A34"/>
    <w:rsid w:val="00344560"/>
    <w:rsid w:val="003C7E04"/>
    <w:rsid w:val="005E0D21"/>
    <w:rsid w:val="007856E1"/>
    <w:rsid w:val="007D7E2B"/>
    <w:rsid w:val="007F07F6"/>
    <w:rsid w:val="008B7C91"/>
    <w:rsid w:val="009C083F"/>
    <w:rsid w:val="00A46D12"/>
    <w:rsid w:val="00BB0DAA"/>
    <w:rsid w:val="00BB188D"/>
    <w:rsid w:val="00C652D2"/>
    <w:rsid w:val="00DC03ED"/>
    <w:rsid w:val="00DC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A2C44"/>
  <w15:docId w15:val="{16AE6BBC-6B84-41D3-8173-40F9C8F36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paragraph" w:styleId="SemEspaamento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PargrafodaLista">
    <w:name w:val="List Paragraph"/>
    <w:basedOn w:val="Normal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pt-BR"/>
    </w:rPr>
  </w:style>
  <w:style w:type="paragraph" w:customStyle="1" w:styleId="western">
    <w:name w:val="western"/>
    <w:basedOn w:val="Normal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4">
    <w:name w:val="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">
    <w:name w:val="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4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2167"/>
    <w:rPr>
      <w:position w:val="-1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34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2167"/>
    <w:rPr>
      <w:position w:val="-1"/>
      <w:lang w:eastAsia="en-US"/>
    </w:r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kJHeVfXogunvCSb4G2gRwYOKug==">CgMxLjA4AGosChRzdWdnZXN0Lm52bzJ1c2RhaXZqcRIUSWFyYSBEYSBDb3N0YSBaYW5ub25qLAoUc3VnZ2VzdC5kMWowMWVyYzBhbWsSFElhcmEgRGEgQ29zdGEgWmFubm9uciExbFN4SlFROHltUVhvSG9JN3cwLVFQeE9WNXc2ZGU0M2Q=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3680</Words>
  <Characters>19873</Characters>
  <Application>Microsoft Office Word</Application>
  <DocSecurity>0</DocSecurity>
  <Lines>165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Guimaraes Goulart</dc:creator>
  <cp:lastModifiedBy>usuario</cp:lastModifiedBy>
  <cp:revision>2</cp:revision>
  <dcterms:created xsi:type="dcterms:W3CDTF">2025-11-11T15:09:00Z</dcterms:created>
  <dcterms:modified xsi:type="dcterms:W3CDTF">2025-11-11T15:09:00Z</dcterms:modified>
</cp:coreProperties>
</file>